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Заголовок 1 уровня</w:t>
      </w:r>
    </w:p>
    <w:p>
      <w:r>
        <w:t xml:space="preserve">Текст с разными начертаниями шрифта: </w:t>
      </w:r>
      <w:r>
        <w:rPr>
          <w:b/>
        </w:rPr>
        <w:t xml:space="preserve">полужирный </w:t>
      </w:r>
      <w:r>
        <w:rPr>
          <w:i/>
        </w:rPr>
        <w:t xml:space="preserve">курсив </w:t>
      </w:r>
      <w:r>
        <w:rPr>
          <w:u w:val="single"/>
        </w:rPr>
        <w:t xml:space="preserve">подчеркнутый </w:t>
      </w:r>
      <w:r>
        <w:t>и обычный.</w:t>
      </w:r>
    </w:p>
    <w:p>
      <w:pPr>
        <w:pStyle w:val="ListBullet"/>
      </w:pPr>
      <w:r>
        <w:t>Первый пункт неупорядоченного списка</w:t>
      </w:r>
    </w:p>
    <w:p>
      <w:pPr>
        <w:pStyle w:val="ListBullet"/>
      </w:pPr>
      <w:r>
        <w:t>Второй пункт неупорядоченного списка</w:t>
      </w:r>
    </w:p>
    <w:p>
      <w:pPr>
        <w:pStyle w:val="ListNumber"/>
      </w:pPr>
      <w:r>
        <w:t>Первый пункт упорядоченного списка</w:t>
      </w:r>
    </w:p>
    <w:p>
      <w:pPr>
        <w:pStyle w:val="ListNumber"/>
      </w:pPr>
      <w:r>
        <w:t>Второй пункт упорядоченного списка</w:t>
      </w:r>
    </w:p>
    <w:tbl>
      <w:tblPr>
        <w:tblStyle w:val="TableGrid"/>
        <w:tblW w:type="auto" w:w="0"/>
        <w:tblLayout w:type="autofit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ячейка</w:t>
            </w:r>
          </w:p>
        </w:tc>
        <w:tc>
          <w:tcPr>
            <w:tcW w:type="dxa" w:w="2880"/>
          </w:tcPr>
          <w:p>
            <w:r>
              <w:t>ячейка</w:t>
            </w:r>
          </w:p>
        </w:tc>
        <w:tc>
          <w:tcPr>
            <w:tcW w:type="dxa" w:w="2880"/>
          </w:tcPr>
          <w:p>
            <w:r>
              <w:t>ячейка</w:t>
            </w:r>
          </w:p>
        </w:tc>
      </w:tr>
      <w:tr>
        <w:tc>
          <w:tcPr>
            <w:tcW w:type="dxa" w:w="2880"/>
          </w:tcPr>
          <w:p>
            <w:r>
              <w:t>ячейка</w:t>
            </w:r>
          </w:p>
        </w:tc>
        <w:tc>
          <w:tcPr>
            <w:tcW w:type="dxa" w:w="2880"/>
          </w:tcPr>
          <w:p>
            <w:r>
              <w:t>ячейка</w:t>
            </w:r>
          </w:p>
        </w:tc>
        <w:tc>
          <w:tcPr>
            <w:tcW w:type="dxa" w:w="2880"/>
          </w:tcPr>
          <w:p>
            <w:r>
              <w:t>ячейка</w:t>
            </w:r>
          </w:p>
        </w:tc>
      </w:tr>
    </w:tbl>
    <w:p>
      <w:r>
        <w:drawing>
          <wp:inline xmlns:a="http://schemas.openxmlformats.org/drawingml/2006/main" xmlns:pic="http://schemas.openxmlformats.org/drawingml/2006/picture">
            <wp:extent cx="1676400" cy="169545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7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695450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